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30" w:rsidRDefault="000C3030">
      <w:pPr>
        <w:pStyle w:val="Corpodeltesto"/>
        <w:widowControl/>
        <w:spacing w:after="0" w:line="240" w:lineRule="auto"/>
        <w:jc w:val="center"/>
        <w:rPr>
          <w:rFonts w:ascii="Arial" w:hAnsi="Arial"/>
          <w:b/>
          <w:bCs/>
          <w:color w:val="222222"/>
          <w:sz w:val="21"/>
          <w:szCs w:val="21"/>
        </w:rPr>
      </w:pPr>
      <w:r>
        <w:rPr>
          <w:rFonts w:ascii="Arial" w:hAnsi="Arial"/>
          <w:b/>
          <w:bCs/>
          <w:color w:val="222222"/>
          <w:sz w:val="21"/>
          <w:szCs w:val="21"/>
        </w:rPr>
        <w:t>ACCESSO CIVICO EX ART. 5 D. LGS 33/2013</w:t>
      </w:r>
    </w:p>
    <w:p w:rsidR="00B45530" w:rsidRDefault="00B45530">
      <w:pPr>
        <w:pStyle w:val="Corpodeltesto"/>
        <w:widowControl/>
        <w:spacing w:after="0" w:line="240" w:lineRule="auto"/>
        <w:rPr>
          <w:rFonts w:ascii="Arial" w:hAnsi="Arial"/>
          <w:color w:val="222222"/>
          <w:sz w:val="21"/>
          <w:szCs w:val="21"/>
        </w:rPr>
      </w:pPr>
    </w:p>
    <w:p w:rsidR="00B45530" w:rsidRDefault="000C3030">
      <w:pPr>
        <w:pStyle w:val="Corpodeltesto"/>
        <w:widowControl/>
        <w:spacing w:after="0" w:line="240" w:lineRule="auto"/>
        <w:jc w:val="both"/>
        <w:rPr>
          <w:rFonts w:hint="eastAsia"/>
        </w:rPr>
      </w:pPr>
      <w:r>
        <w:rPr>
          <w:rFonts w:ascii="Arial" w:hAnsi="Arial"/>
          <w:color w:val="222222"/>
          <w:sz w:val="21"/>
          <w:szCs w:val="21"/>
        </w:rPr>
        <w:t xml:space="preserve">L’accesso civico è il diritto di chiunque di richiedere documenti, informazioni e dati oggetto di pubblicazione obbligatoria oltre al diritto di accedere ai dati e ai documenti, ulteriori rispetto a quelli oggetto di pubblicazione (il cosiddetto “accesso civico generalizzato”), nel rispetto dei limiti relativi alla tutela di interessi giuridicamente rilevanti. Il diritto di accesso civico è disciplinato dal decreto legislativo 14 marzo 2013 n.33 così come modificato dall’art 6 del d. </w:t>
      </w:r>
      <w:proofErr w:type="spellStart"/>
      <w:r>
        <w:rPr>
          <w:rFonts w:ascii="Arial" w:hAnsi="Arial"/>
          <w:color w:val="222222"/>
          <w:sz w:val="21"/>
          <w:szCs w:val="21"/>
        </w:rPr>
        <w:t>lgs</w:t>
      </w:r>
      <w:proofErr w:type="spellEnd"/>
      <w:r>
        <w:rPr>
          <w:rFonts w:ascii="Arial" w:hAnsi="Arial"/>
          <w:color w:val="222222"/>
          <w:sz w:val="21"/>
          <w:szCs w:val="21"/>
        </w:rPr>
        <w:t xml:space="preserve"> n. 97/2016.</w:t>
      </w:r>
    </w:p>
    <w:p w:rsidR="00B45530" w:rsidRDefault="000C3030">
      <w:pPr>
        <w:pStyle w:val="Corpodeltesto"/>
        <w:widowControl/>
        <w:spacing w:after="0" w:line="240" w:lineRule="auto"/>
        <w:jc w:val="both"/>
        <w:rPr>
          <w:rFonts w:hint="eastAsia"/>
        </w:rPr>
      </w:pPr>
      <w:r>
        <w:rPr>
          <w:rFonts w:ascii="Arial" w:hAnsi="Arial"/>
          <w:color w:val="222222"/>
          <w:sz w:val="21"/>
          <w:szCs w:val="21"/>
        </w:rPr>
        <w:br/>
      </w:r>
      <w:r>
        <w:rPr>
          <w:rFonts w:ascii="Arial" w:hAnsi="Arial"/>
          <w:color w:val="222222"/>
          <w:sz w:val="21"/>
          <w:szCs w:val="21"/>
          <w:u w:val="single"/>
        </w:rPr>
        <w:t>Procedimento</w:t>
      </w:r>
      <w:r>
        <w:rPr>
          <w:rFonts w:ascii="Arial" w:hAnsi="Arial"/>
          <w:color w:val="222222"/>
          <w:sz w:val="21"/>
          <w:szCs w:val="21"/>
        </w:rPr>
        <w:t>:</w:t>
      </w:r>
      <w:r>
        <w:rPr>
          <w:rFonts w:ascii="Arial" w:hAnsi="Arial"/>
          <w:color w:val="222222"/>
          <w:sz w:val="21"/>
          <w:szCs w:val="21"/>
        </w:rPr>
        <w:br/>
        <w:t>La richiesta non deve essere motivata e può essere presentata da chiunque, in qualsiasi momento dell’anno tramite il modulo sotto riportato e presentata nelle seguenti modalità:</w:t>
      </w:r>
      <w:r>
        <w:rPr>
          <w:rFonts w:ascii="Arial" w:hAnsi="Arial"/>
          <w:color w:val="222222"/>
          <w:sz w:val="21"/>
          <w:szCs w:val="21"/>
        </w:rPr>
        <w:br/>
        <w:t xml:space="preserve">– </w:t>
      </w:r>
      <w:r>
        <w:rPr>
          <w:rFonts w:ascii="Arial" w:hAnsi="Arial"/>
          <w:color w:val="222222"/>
          <w:sz w:val="21"/>
          <w:szCs w:val="21"/>
          <w:u w:val="single"/>
        </w:rPr>
        <w:t>tramite posta elettronica all’indirizzo</w:t>
      </w:r>
      <w:r>
        <w:rPr>
          <w:rFonts w:ascii="Arial" w:hAnsi="Arial"/>
          <w:color w:val="222222"/>
          <w:sz w:val="21"/>
          <w:szCs w:val="21"/>
        </w:rPr>
        <w:t xml:space="preserve">: </w:t>
      </w:r>
      <w:hyperlink r:id="rId4" w:history="1">
        <w:r w:rsidR="0083770A" w:rsidRPr="006221D5">
          <w:rPr>
            <w:rStyle w:val="Collegamentoipertestuale"/>
            <w:rFonts w:ascii="Arial" w:hAnsi="Arial"/>
            <w:sz w:val="21"/>
            <w:szCs w:val="21"/>
          </w:rPr>
          <w:t>accessocivico@acsnovamilanese.it</w:t>
        </w:r>
      </w:hyperlink>
      <w:r>
        <w:rPr>
          <w:rFonts w:ascii="Arial" w:hAnsi="Arial"/>
          <w:color w:val="22222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– </w:t>
      </w:r>
      <w:r>
        <w:rPr>
          <w:rFonts w:ascii="Arial" w:hAnsi="Arial"/>
          <w:sz w:val="21"/>
          <w:szCs w:val="21"/>
          <w:u w:val="single"/>
        </w:rPr>
        <w:t>tramite posta ordinaria all’indirizzo</w:t>
      </w:r>
      <w:r>
        <w:rPr>
          <w:rFonts w:ascii="Arial" w:hAnsi="Arial"/>
          <w:sz w:val="21"/>
          <w:szCs w:val="21"/>
        </w:rPr>
        <w:t xml:space="preserve">: Azienda Comunale di Servizi – Via </w:t>
      </w:r>
      <w:proofErr w:type="spellStart"/>
      <w:r>
        <w:rPr>
          <w:rFonts w:ascii="Arial" w:hAnsi="Arial"/>
          <w:sz w:val="21"/>
          <w:szCs w:val="21"/>
        </w:rPr>
        <w:t>Madoninna</w:t>
      </w:r>
      <w:proofErr w:type="spellEnd"/>
      <w:r>
        <w:rPr>
          <w:rFonts w:ascii="Arial" w:hAnsi="Arial"/>
          <w:sz w:val="21"/>
          <w:szCs w:val="21"/>
        </w:rPr>
        <w:t xml:space="preserve"> 9 – 20834 Nova Milanese (MB)</w:t>
      </w:r>
    </w:p>
    <w:p w:rsidR="00B45530" w:rsidRDefault="00B45530">
      <w:pPr>
        <w:pStyle w:val="Corpodeltesto"/>
        <w:widowControl/>
        <w:spacing w:after="0" w:line="240" w:lineRule="auto"/>
        <w:rPr>
          <w:rFonts w:ascii="Arial" w:hAnsi="Arial"/>
          <w:color w:val="222222"/>
          <w:sz w:val="21"/>
          <w:szCs w:val="21"/>
        </w:rPr>
      </w:pPr>
    </w:p>
    <w:p w:rsidR="00B45530" w:rsidRDefault="000C3030">
      <w:pPr>
        <w:pStyle w:val="Corpodeltesto"/>
        <w:widowControl/>
        <w:spacing w:after="0" w:line="240" w:lineRule="auto"/>
        <w:jc w:val="both"/>
        <w:rPr>
          <w:rFonts w:hint="eastAsia"/>
        </w:rPr>
      </w:pPr>
      <w:r>
        <w:rPr>
          <w:rFonts w:ascii="Arial" w:hAnsi="Arial"/>
          <w:color w:val="222222"/>
          <w:sz w:val="21"/>
          <w:szCs w:val="21"/>
        </w:rPr>
        <w:t xml:space="preserve">Se l’accesso civico ha ad oggetto dati, informazioni o documenti oggetto di pubblicazione obbligatoria ai sensi del d. </w:t>
      </w:r>
      <w:proofErr w:type="spellStart"/>
      <w:r>
        <w:rPr>
          <w:rFonts w:ascii="Arial" w:hAnsi="Arial"/>
          <w:color w:val="222222"/>
          <w:sz w:val="21"/>
          <w:szCs w:val="21"/>
        </w:rPr>
        <w:t>lgs</w:t>
      </w:r>
      <w:proofErr w:type="spellEnd"/>
      <w:r>
        <w:rPr>
          <w:rFonts w:ascii="Arial" w:hAnsi="Arial"/>
          <w:color w:val="222222"/>
          <w:sz w:val="21"/>
          <w:szCs w:val="21"/>
        </w:rPr>
        <w:t xml:space="preserve"> 33/2013, l’istanza deve essere presentata al Responsabile della Prevenzione della Corruzione e della Trasparenza (RPCT), dott.: Luisa </w:t>
      </w:r>
      <w:proofErr w:type="spellStart"/>
      <w:r>
        <w:rPr>
          <w:rFonts w:ascii="Arial" w:hAnsi="Arial"/>
          <w:color w:val="222222"/>
          <w:sz w:val="21"/>
          <w:szCs w:val="21"/>
        </w:rPr>
        <w:t>Bonfanti</w:t>
      </w:r>
      <w:proofErr w:type="spellEnd"/>
      <w:r>
        <w:rPr>
          <w:rFonts w:ascii="Arial" w:hAnsi="Arial"/>
          <w:color w:val="222222"/>
          <w:sz w:val="21"/>
          <w:szCs w:val="21"/>
        </w:rPr>
        <w:t>; acs.anticorruzione@gmail.com</w:t>
      </w:r>
    </w:p>
    <w:p w:rsidR="00B45530" w:rsidRDefault="00B45530">
      <w:pPr>
        <w:pStyle w:val="Corpodeltesto"/>
        <w:widowControl/>
        <w:spacing w:after="0" w:line="240" w:lineRule="auto"/>
        <w:rPr>
          <w:rFonts w:ascii="Arial" w:hAnsi="Arial"/>
          <w:color w:val="222222"/>
          <w:sz w:val="21"/>
          <w:szCs w:val="21"/>
        </w:rPr>
      </w:pPr>
    </w:p>
    <w:p w:rsidR="00B45530" w:rsidRDefault="000C3030">
      <w:pPr>
        <w:pStyle w:val="Corpodeltesto"/>
        <w:widowControl/>
        <w:spacing w:after="0" w:line="240" w:lineRule="auto"/>
        <w:rPr>
          <w:rFonts w:ascii="Arial" w:hAnsi="Arial"/>
          <w:color w:val="222222"/>
          <w:sz w:val="21"/>
          <w:szCs w:val="21"/>
        </w:rPr>
      </w:pPr>
      <w:r>
        <w:rPr>
          <w:rFonts w:ascii="Arial" w:hAnsi="Arial"/>
          <w:color w:val="222222"/>
          <w:sz w:val="21"/>
          <w:szCs w:val="21"/>
        </w:rPr>
        <w:t>Le istanze sono valide se:</w:t>
      </w:r>
    </w:p>
    <w:p w:rsidR="00B45530" w:rsidRDefault="000C3030">
      <w:pPr>
        <w:pStyle w:val="Corpodeltesto"/>
        <w:widowControl/>
        <w:spacing w:after="0" w:line="240" w:lineRule="auto"/>
        <w:rPr>
          <w:rFonts w:ascii="Arial" w:hAnsi="Arial"/>
          <w:color w:val="222222"/>
          <w:sz w:val="21"/>
          <w:szCs w:val="21"/>
        </w:rPr>
      </w:pPr>
      <w:r>
        <w:rPr>
          <w:rFonts w:ascii="Arial" w:hAnsi="Arial"/>
          <w:color w:val="222222"/>
          <w:sz w:val="21"/>
          <w:szCs w:val="21"/>
        </w:rPr>
        <w:t>a) sottoscritte mediante la firma digitale;</w:t>
      </w:r>
    </w:p>
    <w:p w:rsidR="00B45530" w:rsidRDefault="000C3030">
      <w:pPr>
        <w:pStyle w:val="Corpodeltesto"/>
        <w:widowControl/>
        <w:spacing w:after="0" w:line="240" w:lineRule="auto"/>
        <w:rPr>
          <w:rFonts w:ascii="Arial" w:hAnsi="Arial"/>
          <w:color w:val="222222"/>
          <w:sz w:val="21"/>
          <w:szCs w:val="21"/>
        </w:rPr>
      </w:pPr>
      <w:r>
        <w:rPr>
          <w:rFonts w:ascii="Arial" w:hAnsi="Arial"/>
          <w:color w:val="222222"/>
          <w:sz w:val="21"/>
          <w:szCs w:val="21"/>
        </w:rPr>
        <w:t>b) l’istante è identificato attraverso il sistema pubblico di identità (SPID), nonché carta di identità elettronica o la carta nazionale dei servizi;</w:t>
      </w:r>
    </w:p>
    <w:p w:rsidR="00B45530" w:rsidRDefault="000C3030">
      <w:pPr>
        <w:pStyle w:val="Corpodeltesto"/>
        <w:widowControl/>
        <w:spacing w:after="0" w:line="240" w:lineRule="auto"/>
        <w:rPr>
          <w:rFonts w:ascii="Arial" w:hAnsi="Arial"/>
          <w:color w:val="222222"/>
          <w:sz w:val="21"/>
          <w:szCs w:val="21"/>
        </w:rPr>
      </w:pPr>
      <w:r>
        <w:rPr>
          <w:rFonts w:ascii="Arial" w:hAnsi="Arial"/>
          <w:color w:val="222222"/>
          <w:sz w:val="21"/>
          <w:szCs w:val="21"/>
        </w:rPr>
        <w:t>c) sono sottoscritte e presentate insieme alla copia del documento d’identità;</w:t>
      </w:r>
    </w:p>
    <w:p w:rsidR="00B45530" w:rsidRDefault="000C3030">
      <w:pPr>
        <w:pStyle w:val="Corpodeltesto"/>
        <w:widowControl/>
        <w:spacing w:after="0" w:line="240" w:lineRule="auto"/>
        <w:rPr>
          <w:rFonts w:ascii="Arial" w:hAnsi="Arial"/>
          <w:color w:val="222222"/>
          <w:sz w:val="21"/>
          <w:szCs w:val="21"/>
        </w:rPr>
      </w:pPr>
      <w:r>
        <w:rPr>
          <w:rFonts w:ascii="Arial" w:hAnsi="Arial"/>
          <w:color w:val="222222"/>
          <w:sz w:val="21"/>
          <w:szCs w:val="21"/>
        </w:rPr>
        <w:t>d) sono trasmesse mediante la propria casella di posta elettronica certificata.</w:t>
      </w:r>
    </w:p>
    <w:p w:rsidR="00B45530" w:rsidRDefault="00B45530">
      <w:pPr>
        <w:pStyle w:val="Corpodeltesto"/>
        <w:widowControl/>
        <w:spacing w:after="0" w:line="240" w:lineRule="auto"/>
        <w:rPr>
          <w:rFonts w:ascii="Arial" w:hAnsi="Arial"/>
          <w:color w:val="222222"/>
          <w:sz w:val="21"/>
          <w:szCs w:val="21"/>
        </w:rPr>
      </w:pPr>
    </w:p>
    <w:p w:rsidR="00B45530" w:rsidRDefault="000C3030">
      <w:pPr>
        <w:pStyle w:val="Corpodeltesto"/>
        <w:widowControl/>
        <w:spacing w:after="0" w:line="240" w:lineRule="auto"/>
        <w:jc w:val="both"/>
        <w:rPr>
          <w:rFonts w:ascii="Arial" w:hAnsi="Arial"/>
          <w:color w:val="222222"/>
          <w:sz w:val="21"/>
          <w:szCs w:val="21"/>
        </w:rPr>
      </w:pPr>
      <w:r>
        <w:rPr>
          <w:rFonts w:ascii="Arial" w:hAnsi="Arial"/>
          <w:color w:val="222222"/>
          <w:sz w:val="21"/>
          <w:szCs w:val="21"/>
        </w:rPr>
        <w:t>L’ esame dei documenti è gratuito. Il rilascio di copia è subordinato soltanto al rimborso del costo di riproduzione.</w:t>
      </w:r>
      <w:r>
        <w:rPr>
          <w:rFonts w:ascii="Arial" w:hAnsi="Arial"/>
          <w:color w:val="222222"/>
          <w:sz w:val="21"/>
          <w:szCs w:val="21"/>
        </w:rPr>
        <w:br/>
        <w:t>Il procedimento di accesso civico deve concludersi con provvedimento espresso e motivato nel termine di trenta giorni dalla presentazione dell’istanza con la comunicazione al richiedente e agli eventuali contro interessati.</w:t>
      </w:r>
    </w:p>
    <w:p w:rsidR="00B45530" w:rsidRDefault="000C3030">
      <w:pPr>
        <w:pStyle w:val="Corpodeltesto"/>
        <w:widowControl/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color w:val="222222"/>
          <w:sz w:val="21"/>
          <w:szCs w:val="21"/>
        </w:rPr>
        <w:t>In caso di accoglimento, l’amministrazione, provvede a trasmettere tempestivamente al richiedente i dati o i documenti richiesti, ovvero,nel caso in cui l’istanza riguardi dati, informazioni o documenti oggetto di pubblicazione obbligatoria ai sensi del presente decreto, a pubblicare nella apposita sezione di Amministrazione Trasparente del sito web aziendale e a comunicare al richiedente l’avvenuta pubblicazione dello stesso indicandogli il relativo collegamento ipertestuale.</w:t>
      </w:r>
    </w:p>
    <w:p w:rsidR="00B45530" w:rsidRDefault="000C3030">
      <w:pPr>
        <w:pStyle w:val="Corpodeltesto"/>
        <w:widowControl/>
        <w:spacing w:after="0" w:line="240" w:lineRule="auto"/>
        <w:jc w:val="both"/>
        <w:rPr>
          <w:rFonts w:ascii="Arial" w:hAnsi="Arial"/>
          <w:color w:val="222222"/>
          <w:sz w:val="21"/>
          <w:szCs w:val="21"/>
        </w:rPr>
      </w:pPr>
      <w:r>
        <w:rPr>
          <w:rFonts w:ascii="Arial" w:hAnsi="Arial"/>
          <w:color w:val="222222"/>
          <w:sz w:val="21"/>
          <w:szCs w:val="21"/>
        </w:rPr>
        <w:t>Nell’istanza devono essere identificati i dati, le informazioni o i documenti che si desidera richiedere.</w:t>
      </w:r>
    </w:p>
    <w:p w:rsidR="00B45530" w:rsidRDefault="00B45530">
      <w:pPr>
        <w:pStyle w:val="Corpodeltesto"/>
        <w:widowControl/>
        <w:spacing w:after="0" w:line="240" w:lineRule="auto"/>
        <w:rPr>
          <w:rFonts w:ascii="Arial" w:hAnsi="Arial"/>
          <w:color w:val="222222"/>
          <w:sz w:val="21"/>
          <w:szCs w:val="21"/>
        </w:rPr>
      </w:pPr>
    </w:p>
    <w:p w:rsidR="00B45530" w:rsidRDefault="000C3030">
      <w:pPr>
        <w:pStyle w:val="Corpodeltesto"/>
        <w:widowControl/>
        <w:spacing w:after="0" w:line="240" w:lineRule="auto"/>
        <w:rPr>
          <w:rFonts w:ascii="Arial" w:hAnsi="Arial"/>
          <w:color w:val="222222"/>
          <w:sz w:val="21"/>
          <w:szCs w:val="21"/>
          <w:u w:val="single"/>
        </w:rPr>
      </w:pPr>
      <w:r>
        <w:rPr>
          <w:rFonts w:ascii="Arial" w:hAnsi="Arial"/>
          <w:color w:val="222222"/>
          <w:sz w:val="21"/>
          <w:szCs w:val="21"/>
          <w:u w:val="single"/>
        </w:rPr>
        <w:t>Tutela dell’accesso civico:</w:t>
      </w:r>
    </w:p>
    <w:p w:rsidR="00B45530" w:rsidRDefault="000C3030">
      <w:pPr>
        <w:pStyle w:val="Corpodeltesto"/>
        <w:widowControl/>
        <w:spacing w:after="0" w:line="240" w:lineRule="auto"/>
        <w:jc w:val="both"/>
        <w:rPr>
          <w:rFonts w:ascii="Arial" w:hAnsi="Arial"/>
          <w:color w:val="222222"/>
          <w:sz w:val="21"/>
          <w:szCs w:val="21"/>
        </w:rPr>
      </w:pPr>
      <w:r>
        <w:rPr>
          <w:rFonts w:ascii="Arial" w:hAnsi="Arial"/>
          <w:color w:val="222222"/>
          <w:sz w:val="21"/>
          <w:szCs w:val="21"/>
        </w:rPr>
        <w:t>Nei casi di diniego totale o parziale dell’accesso o di mancata risposta entro il termine indicato al comma 6, il richiedente può presentare richiesta di riesame al responsabile della prevenzione della corruzione e della trasparenza, di cui all’articolo 43, che decide con provvedimento motivato, entro il termine di venti giorni.</w:t>
      </w:r>
    </w:p>
    <w:p w:rsidR="00B45530" w:rsidRDefault="00B45530">
      <w:pPr>
        <w:pStyle w:val="Corpodeltesto"/>
        <w:widowControl/>
        <w:spacing w:after="0" w:line="240" w:lineRule="auto"/>
        <w:rPr>
          <w:rFonts w:ascii="Arial" w:hAnsi="Arial"/>
          <w:color w:val="222222"/>
          <w:sz w:val="21"/>
          <w:szCs w:val="21"/>
        </w:rPr>
      </w:pPr>
    </w:p>
    <w:p w:rsidR="00B45530" w:rsidRDefault="000C3030">
      <w:pPr>
        <w:pStyle w:val="Corpodeltesto"/>
        <w:widowControl/>
        <w:spacing w:after="0" w:line="240" w:lineRule="auto"/>
        <w:jc w:val="both"/>
        <w:rPr>
          <w:rFonts w:ascii="Arial" w:hAnsi="Arial"/>
          <w:color w:val="222222"/>
          <w:sz w:val="21"/>
          <w:szCs w:val="21"/>
        </w:rPr>
      </w:pPr>
      <w:r>
        <w:rPr>
          <w:rFonts w:ascii="Arial" w:hAnsi="Arial"/>
          <w:color w:val="222222"/>
          <w:sz w:val="21"/>
          <w:szCs w:val="21"/>
        </w:rPr>
        <w:t xml:space="preserve">Contro le decisioni e contro il silenzio sulla richiesta di accesso civico connessa all’inadempimento degli obblighi di trasparenza il richiedente può proporre ricorso al TAR secondo le disposizioni di cui al d. </w:t>
      </w:r>
      <w:proofErr w:type="spellStart"/>
      <w:r>
        <w:rPr>
          <w:rFonts w:ascii="Arial" w:hAnsi="Arial"/>
          <w:color w:val="222222"/>
          <w:sz w:val="21"/>
          <w:szCs w:val="21"/>
        </w:rPr>
        <w:t>lgs</w:t>
      </w:r>
      <w:proofErr w:type="spellEnd"/>
      <w:r>
        <w:rPr>
          <w:rFonts w:ascii="Arial" w:hAnsi="Arial"/>
          <w:color w:val="222222"/>
          <w:sz w:val="21"/>
          <w:szCs w:val="21"/>
        </w:rPr>
        <w:t xml:space="preserve"> n. 104/2010. e qualora si tratti di atti delle amministrazioni delle regioni o degli enti locali, il richiedente può altresì presentare ricorso al difensore civico competente per ambito territoriale, ove costituito.</w:t>
      </w:r>
    </w:p>
    <w:p w:rsidR="00B45530" w:rsidRDefault="00B45530">
      <w:pPr>
        <w:rPr>
          <w:rFonts w:ascii="Arial" w:hAnsi="Arial"/>
          <w:sz w:val="21"/>
          <w:szCs w:val="21"/>
        </w:rPr>
      </w:pPr>
    </w:p>
    <w:p w:rsidR="00B45530" w:rsidRDefault="000C3030">
      <w:pPr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Per approfondire leggi </w:t>
      </w:r>
      <w:r>
        <w:rPr>
          <w:rFonts w:ascii="Arial" w:hAnsi="Arial"/>
          <w:shadow/>
          <w:sz w:val="21"/>
          <w:szCs w:val="21"/>
          <w:u w:val="single"/>
        </w:rPr>
        <w:t xml:space="preserve">qui </w:t>
      </w:r>
      <w:r>
        <w:rPr>
          <w:rFonts w:ascii="Arial" w:hAnsi="Arial"/>
          <w:sz w:val="21"/>
          <w:szCs w:val="21"/>
        </w:rPr>
        <w:t xml:space="preserve">le Linee Guida </w:t>
      </w:r>
      <w:proofErr w:type="spellStart"/>
      <w:r>
        <w:rPr>
          <w:rFonts w:ascii="Arial" w:hAnsi="Arial"/>
          <w:sz w:val="21"/>
          <w:szCs w:val="21"/>
        </w:rPr>
        <w:t>Anac</w:t>
      </w:r>
      <w:proofErr w:type="spellEnd"/>
      <w:r>
        <w:rPr>
          <w:rFonts w:ascii="Arial" w:hAnsi="Arial"/>
          <w:sz w:val="21"/>
          <w:szCs w:val="21"/>
        </w:rPr>
        <w:t xml:space="preserve"> recanti  indicazioni  operative  ai  fini  della  definizione  delle esclusioni e dei limiti all'accesso civico di cui all’art. 5 </w:t>
      </w:r>
      <w:proofErr w:type="spellStart"/>
      <w:r>
        <w:rPr>
          <w:rFonts w:ascii="Arial" w:hAnsi="Arial"/>
          <w:sz w:val="21"/>
          <w:szCs w:val="21"/>
        </w:rPr>
        <w:t>co</w:t>
      </w:r>
      <w:proofErr w:type="spellEnd"/>
      <w:r>
        <w:rPr>
          <w:rFonts w:ascii="Arial" w:hAnsi="Arial"/>
          <w:sz w:val="21"/>
          <w:szCs w:val="21"/>
        </w:rPr>
        <w:t>. 2 del d.lgs.  33/2013.</w:t>
      </w:r>
    </w:p>
    <w:p w:rsidR="00B45530" w:rsidRDefault="00B45530">
      <w:pPr>
        <w:rPr>
          <w:rFonts w:hint="eastAsia"/>
        </w:rPr>
      </w:pPr>
    </w:p>
    <w:sectPr w:rsidR="00B45530" w:rsidSect="00B4553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9"/>
  <w:hyphenationZone w:val="283"/>
  <w:characterSpacingControl w:val="doNotCompress"/>
  <w:compat>
    <w:useFELayout/>
  </w:compat>
  <w:rsids>
    <w:rsidRoot w:val="00B45530"/>
    <w:rsid w:val="000C3030"/>
    <w:rsid w:val="0083770A"/>
    <w:rsid w:val="009731EC"/>
    <w:rsid w:val="00B4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530"/>
    <w:pPr>
      <w:widowControl w:val="0"/>
    </w:pPr>
    <w:rPr>
      <w:color w:val="00000A"/>
      <w:sz w:val="24"/>
    </w:rPr>
  </w:style>
  <w:style w:type="paragraph" w:styleId="Titolo1">
    <w:name w:val="heading 1"/>
    <w:basedOn w:val="Titolo"/>
    <w:rsid w:val="00B45530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rsid w:val="00B45530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rsid w:val="00B45530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B45530"/>
    <w:rPr>
      <w:color w:val="000080"/>
      <w:u w:val="single"/>
    </w:rPr>
  </w:style>
  <w:style w:type="character" w:customStyle="1" w:styleId="Caratteredinumerazione">
    <w:name w:val="Carattere di numerazione"/>
    <w:qFormat/>
    <w:rsid w:val="00B45530"/>
  </w:style>
  <w:style w:type="paragraph" w:styleId="Titolo">
    <w:name w:val="Title"/>
    <w:basedOn w:val="Normale"/>
    <w:next w:val="Corpodeltesto"/>
    <w:qFormat/>
    <w:rsid w:val="00B455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B45530"/>
    <w:pPr>
      <w:spacing w:after="140" w:line="288" w:lineRule="auto"/>
    </w:pPr>
  </w:style>
  <w:style w:type="paragraph" w:styleId="Elenco">
    <w:name w:val="List"/>
    <w:basedOn w:val="Corpodeltesto"/>
    <w:rsid w:val="00B45530"/>
  </w:style>
  <w:style w:type="paragraph" w:styleId="Didascalia">
    <w:name w:val="caption"/>
    <w:basedOn w:val="Normale"/>
    <w:rsid w:val="00B4553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B45530"/>
    <w:pPr>
      <w:suppressLineNumbers/>
    </w:pPr>
  </w:style>
  <w:style w:type="paragraph" w:customStyle="1" w:styleId="Quotations">
    <w:name w:val="Quotations"/>
    <w:basedOn w:val="Normale"/>
    <w:qFormat/>
    <w:rsid w:val="00B45530"/>
    <w:pPr>
      <w:spacing w:after="283"/>
      <w:ind w:left="567" w:right="567"/>
    </w:pPr>
  </w:style>
  <w:style w:type="paragraph" w:customStyle="1" w:styleId="Titoloprincipale">
    <w:name w:val="Titolo principale"/>
    <w:basedOn w:val="Titolo"/>
    <w:rsid w:val="00B45530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rsid w:val="00B45530"/>
    <w:pPr>
      <w:spacing w:before="60"/>
      <w:jc w:val="center"/>
    </w:pPr>
    <w:rPr>
      <w:sz w:val="36"/>
      <w:szCs w:val="3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553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5530"/>
    <w:rPr>
      <w:color w:val="00000A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45530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03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030"/>
    <w:rPr>
      <w:rFonts w:ascii="Tahoma" w:hAnsi="Tahoma"/>
      <w:color w:val="00000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0C3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essocivico@acsnovamil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pinu</dc:creator>
  <cp:lastModifiedBy>pinu</cp:lastModifiedBy>
  <cp:revision>3</cp:revision>
  <cp:lastPrinted>2016-12-22T10:09:00Z</cp:lastPrinted>
  <dcterms:created xsi:type="dcterms:W3CDTF">2016-12-22T10:03:00Z</dcterms:created>
  <dcterms:modified xsi:type="dcterms:W3CDTF">2016-12-22T10:10:00Z</dcterms:modified>
  <dc:language>it-IT</dc:language>
</cp:coreProperties>
</file>